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7857B5" w:rsidP="00F456DD">
      <w:pPr>
        <w:spacing w:line="276" w:lineRule="auto"/>
        <w:jc w:val="both"/>
        <w:rPr>
          <w:sz w:val="24"/>
          <w:szCs w:val="24"/>
        </w:rPr>
      </w:pPr>
      <w:r w:rsidRPr="007857B5">
        <w:rPr>
          <w:b/>
          <w:sz w:val="24"/>
          <w:szCs w:val="24"/>
        </w:rPr>
        <w:t>Azioni di sciopero previste per il 22 e 23 aprile 2022</w:t>
      </w:r>
      <w:bookmarkStart w:id="0" w:name="_GoBack"/>
      <w:bookmarkEnd w:id="0"/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73E63"/>
    <w:rsid w:val="00667E95"/>
    <w:rsid w:val="007857B5"/>
    <w:rsid w:val="007C6469"/>
    <w:rsid w:val="00CC646F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Lenovo</cp:lastModifiedBy>
  <cp:revision>5</cp:revision>
  <dcterms:created xsi:type="dcterms:W3CDTF">2021-11-06T16:46:00Z</dcterms:created>
  <dcterms:modified xsi:type="dcterms:W3CDTF">2022-04-14T19:37:00Z</dcterms:modified>
</cp:coreProperties>
</file>